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20" w:lineRule="atLeast"/>
        <w:ind w:firstLine="880" w:firstLineChars="200"/>
        <w:jc w:val="center"/>
        <w:rPr>
          <w:rFonts w:ascii="方正小标宋简体" w:hAnsi="微软雅黑" w:eastAsia="方正小标宋简体" w:cs="Helvetica"/>
          <w:bCs/>
          <w:kern w:val="0"/>
          <w:sz w:val="44"/>
          <w:szCs w:val="44"/>
        </w:rPr>
      </w:pPr>
      <w:r>
        <w:rPr>
          <w:rFonts w:hint="eastAsia" w:ascii="方正小标宋简体" w:hAnsi="微软雅黑" w:eastAsia="方正小标宋简体" w:cs="Helvetica"/>
          <w:bCs/>
          <w:kern w:val="0"/>
          <w:sz w:val="44"/>
          <w:szCs w:val="44"/>
        </w:rPr>
        <w:t>第</w:t>
      </w:r>
      <w:r>
        <w:rPr>
          <w:rFonts w:hint="eastAsia" w:ascii="方正小标宋简体" w:hAnsi="微软雅黑" w:eastAsia="方正小标宋简体" w:cs="Helvetica"/>
          <w:bCs/>
          <w:kern w:val="0"/>
          <w:sz w:val="44"/>
          <w:szCs w:val="44"/>
          <w:lang w:eastAsia="zh-CN"/>
        </w:rPr>
        <w:t>四</w:t>
      </w:r>
      <w:bookmarkStart w:id="0" w:name="_GoBack"/>
      <w:bookmarkEnd w:id="0"/>
      <w:r>
        <w:rPr>
          <w:rFonts w:hint="eastAsia" w:ascii="方正小标宋简体" w:hAnsi="微软雅黑" w:eastAsia="方正小标宋简体" w:cs="Helvetica"/>
          <w:bCs/>
          <w:kern w:val="0"/>
          <w:sz w:val="44"/>
          <w:szCs w:val="44"/>
        </w:rPr>
        <w:t>届</w:t>
      </w:r>
      <w:r>
        <w:rPr>
          <w:rFonts w:hint="eastAsia" w:ascii="方正小标宋简体" w:hAnsi="微软雅黑" w:eastAsia="方正小标宋简体" w:cs="Helvetica"/>
          <w:bCs/>
          <w:kern w:val="0"/>
          <w:sz w:val="44"/>
          <w:szCs w:val="44"/>
          <w:lang w:eastAsia="zh-CN"/>
        </w:rPr>
        <w:t>黄冈师范学院</w:t>
      </w:r>
      <w:r>
        <w:rPr>
          <w:rFonts w:hint="eastAsia" w:ascii="方正小标宋简体" w:hAnsi="微软雅黑" w:eastAsia="方正小标宋简体" w:cs="Helvetica"/>
          <w:bCs/>
          <w:kern w:val="0"/>
          <w:sz w:val="44"/>
          <w:szCs w:val="44"/>
        </w:rPr>
        <w:t>“互联网+”大学生创新创业大赛评审规则</w:t>
      </w:r>
    </w:p>
    <w:p>
      <w:pPr>
        <w:widowControl/>
        <w:spacing w:line="420" w:lineRule="atLeast"/>
        <w:ind w:firstLine="643" w:firstLineChars="200"/>
        <w:jc w:val="left"/>
        <w:rPr>
          <w:rFonts w:ascii="黑体" w:hAnsi="黑体" w:eastAsia="黑体" w:cs="Helvetica"/>
          <w:b/>
          <w:bCs/>
          <w:kern w:val="0"/>
          <w:sz w:val="32"/>
          <w:szCs w:val="32"/>
        </w:rPr>
      </w:pPr>
      <w:r>
        <w:rPr>
          <w:rFonts w:hint="eastAsia" w:ascii="黑体" w:hAnsi="黑体" w:eastAsia="黑体" w:cs="Helvetica"/>
          <w:b/>
          <w:bCs/>
          <w:kern w:val="0"/>
          <w:sz w:val="32"/>
          <w:szCs w:val="32"/>
        </w:rPr>
        <w:t>一、创意组项目评审要点</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237"/>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评审要点</w:t>
            </w:r>
          </w:p>
        </w:tc>
        <w:tc>
          <w:tcPr>
            <w:tcW w:w="6237"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评审内容</w:t>
            </w:r>
          </w:p>
        </w:tc>
        <w:tc>
          <w:tcPr>
            <w:tcW w:w="759"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创新性</w:t>
            </w:r>
          </w:p>
        </w:tc>
        <w:tc>
          <w:tcPr>
            <w:tcW w:w="6237" w:type="dxa"/>
          </w:tcPr>
          <w:p>
            <w:pPr>
              <w:widowControl/>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突出原始创意的价值，不鼓励模仿。强调利用互联网技术、方法和思维在销售、研发、生产、物流、信息、人力、管理等方面寻求突破和创新。鼓励项目与高校科技成果转移转化相结合。</w:t>
            </w:r>
          </w:p>
        </w:tc>
        <w:tc>
          <w:tcPr>
            <w:tcW w:w="759"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团队情况</w:t>
            </w:r>
          </w:p>
        </w:tc>
        <w:tc>
          <w:tcPr>
            <w:tcW w:w="6237"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考察管理团队各成员的教育和工作背景、价值观念、擅长领域，成员的分工和业务互补情况；公司的组织构架、人员配置安排是否科学；创业顾问，主要投资人和持股情况；战略合作企业及其与本项目的关系，团队是否具有实现这种突破的具体方案和可能的资源基础。</w:t>
            </w:r>
          </w:p>
        </w:tc>
        <w:tc>
          <w:tcPr>
            <w:tcW w:w="759"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商业性</w:t>
            </w:r>
          </w:p>
        </w:tc>
        <w:tc>
          <w:tcPr>
            <w:tcW w:w="6237"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考察管理团队各成员的教育和工作背景、价值观念、擅长领域，成员的分工和业务互补情况；公司的组织构架、人员配置安排是否科学；创业顾问，主要投资人和持股情况；战略合作企业及其与本项目的关系，团队是否具有实现这种突破的具体方案和可能的资源基础。</w:t>
            </w:r>
          </w:p>
        </w:tc>
        <w:tc>
          <w:tcPr>
            <w:tcW w:w="759"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带动就业前景</w:t>
            </w:r>
          </w:p>
        </w:tc>
        <w:tc>
          <w:tcPr>
            <w:tcW w:w="6237"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综合考察项目发展战略和规模扩张策略的合理性和可行性，预判项目可能带动社会就业的能力。</w:t>
            </w:r>
          </w:p>
        </w:tc>
        <w:tc>
          <w:tcPr>
            <w:tcW w:w="759"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5</w:t>
            </w:r>
          </w:p>
        </w:tc>
      </w:tr>
    </w:tbl>
    <w:p>
      <w:pPr>
        <w:widowControl/>
        <w:spacing w:line="420" w:lineRule="atLeast"/>
        <w:ind w:firstLine="643" w:firstLineChars="200"/>
        <w:jc w:val="left"/>
        <w:rPr>
          <w:rFonts w:ascii="黑体" w:hAnsi="黑体" w:eastAsia="黑体" w:cs="Helvetica"/>
          <w:kern w:val="0"/>
          <w:sz w:val="32"/>
          <w:szCs w:val="32"/>
        </w:rPr>
      </w:pPr>
      <w:r>
        <w:rPr>
          <w:rFonts w:hint="eastAsia" w:ascii="黑体" w:hAnsi="黑体" w:eastAsia="黑体" w:cs="Helvetica"/>
          <w:b/>
          <w:bCs/>
          <w:kern w:val="0"/>
          <w:sz w:val="32"/>
          <w:szCs w:val="32"/>
        </w:rPr>
        <w:t>二、初创组、成长组项目评审要点</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237"/>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评审要点</w:t>
            </w:r>
          </w:p>
        </w:tc>
        <w:tc>
          <w:tcPr>
            <w:tcW w:w="6237"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评审内容</w:t>
            </w:r>
          </w:p>
        </w:tc>
        <w:tc>
          <w:tcPr>
            <w:tcW w:w="759"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商业性</w:t>
            </w:r>
          </w:p>
        </w:tc>
        <w:tc>
          <w:tcPr>
            <w:tcW w:w="6237"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成长性方面，重点考察项目目标市场容量大小及可扩展性以及该项目是否有合适的计划和可能性（包括人力资源、资金、技术等方面）支持其未来5年的高速成长。在商业模式方面，强调项目设计的完整性与可行性，并给出完整的商业模式描述，以及在机会识别与利用、竞争与合作、技术基础、产品或服务设计、资金及人员需求、现行法律法规限制等方面需具有可行性。在融资方面，强调融资需求及资金使用规划。</w:t>
            </w:r>
          </w:p>
        </w:tc>
        <w:tc>
          <w:tcPr>
            <w:tcW w:w="7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团队情况</w:t>
            </w:r>
          </w:p>
        </w:tc>
        <w:tc>
          <w:tcPr>
            <w:tcW w:w="6237"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主要考察管理团队各成员有关的教育和工作背景、价值观念、擅长领域，成员的分工和业务互补情况；公司的组织构架、人员配置以及领导层成员；创业顾问，主要投资人和持股情况；战略合作企业及其与本项目的关系。</w:t>
            </w:r>
          </w:p>
        </w:tc>
        <w:tc>
          <w:tcPr>
            <w:tcW w:w="7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创新性</w:t>
            </w:r>
          </w:p>
        </w:tc>
        <w:tc>
          <w:tcPr>
            <w:tcW w:w="6237"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突出原始创意的价值，不鼓励模仿。强调利用互联网技术、方法、思维在销售、研发、生产、物流、信息、人力、管理等方面寻求突破和创新。鼓励项目与高校科技成果转移转化相结合。</w:t>
            </w:r>
          </w:p>
        </w:tc>
        <w:tc>
          <w:tcPr>
            <w:tcW w:w="7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带动就业情况</w:t>
            </w:r>
          </w:p>
        </w:tc>
        <w:tc>
          <w:tcPr>
            <w:tcW w:w="6237"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考察项目增加社会就业份额，发展战略和扩张的策略合理性，上下产业链的密切程度和带动效率、其他社会效益。</w:t>
            </w:r>
          </w:p>
        </w:tc>
        <w:tc>
          <w:tcPr>
            <w:tcW w:w="7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10</w:t>
            </w:r>
          </w:p>
        </w:tc>
      </w:tr>
    </w:tbl>
    <w:p>
      <w:pPr>
        <w:widowControl/>
        <w:spacing w:line="420" w:lineRule="atLeast"/>
        <w:ind w:firstLine="643" w:firstLineChars="200"/>
        <w:jc w:val="left"/>
        <w:rPr>
          <w:rFonts w:ascii="黑体" w:hAnsi="黑体" w:eastAsia="黑体" w:cs="Helvetica"/>
          <w:b/>
          <w:bCs/>
          <w:kern w:val="0"/>
          <w:sz w:val="32"/>
          <w:szCs w:val="32"/>
        </w:rPr>
      </w:pPr>
      <w:r>
        <w:rPr>
          <w:rFonts w:hint="eastAsia" w:ascii="黑体" w:hAnsi="黑体" w:eastAsia="黑体" w:cs="Helvetica"/>
          <w:b/>
          <w:bCs/>
          <w:kern w:val="0"/>
          <w:sz w:val="32"/>
          <w:szCs w:val="32"/>
        </w:rPr>
        <w:t>三、就业型创业项目评审要点</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559"/>
        <w:gridCol w:w="4678"/>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评审要点</w:t>
            </w:r>
          </w:p>
        </w:tc>
        <w:tc>
          <w:tcPr>
            <w:tcW w:w="1559"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得分形式</w:t>
            </w:r>
          </w:p>
        </w:tc>
        <w:tc>
          <w:tcPr>
            <w:tcW w:w="4678"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评审内容</w:t>
            </w:r>
          </w:p>
        </w:tc>
        <w:tc>
          <w:tcPr>
            <w:tcW w:w="759" w:type="dxa"/>
          </w:tcPr>
          <w:p>
            <w:pPr>
              <w:widowControl/>
              <w:spacing w:line="420" w:lineRule="atLeast"/>
              <w:jc w:val="center"/>
              <w:rPr>
                <w:rFonts w:ascii="仿宋_GB2312" w:hAnsi="仿宋" w:eastAsia="仿宋_GB2312" w:cs="Helvetica"/>
                <w:kern w:val="0"/>
                <w:sz w:val="32"/>
                <w:szCs w:val="32"/>
              </w:rPr>
            </w:pPr>
            <w:r>
              <w:rPr>
                <w:rFonts w:hint="eastAsia" w:ascii="仿宋_GB2312" w:hAnsi="仿宋" w:eastAsia="仿宋_GB2312" w:cs="Helvetica"/>
                <w:kern w:val="0"/>
                <w:sz w:val="32"/>
                <w:szCs w:val="32"/>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项目团队</w:t>
            </w:r>
          </w:p>
        </w:tc>
        <w:tc>
          <w:tcPr>
            <w:tcW w:w="15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加总得分</w:t>
            </w:r>
          </w:p>
        </w:tc>
        <w:tc>
          <w:tcPr>
            <w:tcW w:w="4678"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团队成员互补与协调性</w:t>
            </w:r>
          </w:p>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组织结构设置合理性</w:t>
            </w:r>
          </w:p>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股权结构设置合理性</w:t>
            </w:r>
          </w:p>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生存性和盈利能力</w:t>
            </w:r>
          </w:p>
        </w:tc>
        <w:tc>
          <w:tcPr>
            <w:tcW w:w="7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商业性</w:t>
            </w:r>
          </w:p>
        </w:tc>
        <w:tc>
          <w:tcPr>
            <w:tcW w:w="15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加总得分</w:t>
            </w:r>
          </w:p>
        </w:tc>
        <w:tc>
          <w:tcPr>
            <w:tcW w:w="4678"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可行性和完整性</w:t>
            </w:r>
          </w:p>
        </w:tc>
        <w:tc>
          <w:tcPr>
            <w:tcW w:w="7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创新性</w:t>
            </w:r>
          </w:p>
        </w:tc>
        <w:tc>
          <w:tcPr>
            <w:tcW w:w="15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单项得分（满足任一单项得满分）</w:t>
            </w:r>
          </w:p>
        </w:tc>
        <w:tc>
          <w:tcPr>
            <w:tcW w:w="4678"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可复制性</w:t>
            </w:r>
          </w:p>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岗位创新</w:t>
            </w:r>
          </w:p>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技能创新</w:t>
            </w:r>
          </w:p>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技术创新</w:t>
            </w:r>
          </w:p>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产业协同创新</w:t>
            </w:r>
          </w:p>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模式创新</w:t>
            </w:r>
          </w:p>
        </w:tc>
        <w:tc>
          <w:tcPr>
            <w:tcW w:w="7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带动就业</w:t>
            </w:r>
          </w:p>
        </w:tc>
        <w:tc>
          <w:tcPr>
            <w:tcW w:w="15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加总得分</w:t>
            </w:r>
          </w:p>
        </w:tc>
        <w:tc>
          <w:tcPr>
            <w:tcW w:w="4678"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与当地经济发展紧密结合，促进区域社会经济转型升级</w:t>
            </w:r>
          </w:p>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带动就业人数</w:t>
            </w:r>
          </w:p>
        </w:tc>
        <w:tc>
          <w:tcPr>
            <w:tcW w:w="759" w:type="dxa"/>
          </w:tcPr>
          <w:p>
            <w:pPr>
              <w:widowControl/>
              <w:spacing w:line="420" w:lineRule="atLeast"/>
              <w:jc w:val="left"/>
              <w:rPr>
                <w:rFonts w:ascii="仿宋_GB2312" w:hAnsi="仿宋" w:eastAsia="仿宋_GB2312" w:cs="Helvetica"/>
                <w:kern w:val="0"/>
                <w:sz w:val="32"/>
                <w:szCs w:val="32"/>
              </w:rPr>
            </w:pPr>
            <w:r>
              <w:rPr>
                <w:rFonts w:hint="eastAsia" w:ascii="仿宋_GB2312" w:hAnsi="仿宋" w:eastAsia="仿宋_GB2312" w:cs="Helvetica"/>
                <w:kern w:val="0"/>
                <w:sz w:val="32"/>
                <w:szCs w:val="32"/>
              </w:rPr>
              <w:t>40</w:t>
            </w:r>
          </w:p>
        </w:tc>
      </w:tr>
    </w:tbl>
    <w:p>
      <w:pPr>
        <w:widowControl/>
        <w:spacing w:line="420" w:lineRule="atLeast"/>
        <w:ind w:firstLine="643" w:firstLineChars="200"/>
        <w:jc w:val="left"/>
        <w:rPr>
          <w:rFonts w:ascii="黑体" w:hAnsi="黑体" w:eastAsia="黑体" w:cs="Helvetica"/>
          <w:b/>
          <w:bCs/>
          <w:kern w:val="0"/>
          <w:sz w:val="32"/>
          <w:szCs w:val="32"/>
        </w:rPr>
      </w:pPr>
      <w:r>
        <w:rPr>
          <w:rFonts w:hint="eastAsia" w:ascii="黑体" w:hAnsi="黑体" w:eastAsia="黑体" w:cs="Helvetica"/>
          <w:b/>
          <w:bCs/>
          <w:kern w:val="0"/>
          <w:sz w:val="32"/>
          <w:szCs w:val="32"/>
        </w:rPr>
        <w:t>四、评分标准</w:t>
      </w:r>
    </w:p>
    <w:p>
      <w:pPr>
        <w:pStyle w:val="2"/>
        <w:shd w:val="clear" w:color="auto" w:fill="FFFFFF"/>
        <w:spacing w:before="0" w:beforeAutospacing="0" w:after="0" w:afterAutospacing="0" w:line="555" w:lineRule="atLeast"/>
        <w:ind w:firstLine="640" w:firstLineChars="200"/>
        <w:rPr>
          <w:rFonts w:ascii="仿宋_GB2312" w:hAnsi="仿宋" w:eastAsia="仿宋_GB2312" w:cs="Helvetica"/>
          <w:sz w:val="32"/>
          <w:szCs w:val="32"/>
        </w:rPr>
      </w:pPr>
      <w:r>
        <w:rPr>
          <w:rFonts w:hint="eastAsia" w:ascii="仿宋_GB2312" w:hAnsi="仿宋" w:eastAsia="仿宋_GB2312" w:cs="Helvetica"/>
          <w:sz w:val="32"/>
          <w:szCs w:val="32"/>
        </w:rPr>
        <w:t>评分标准：优秀：100-85分，良好：85-70分，一般：70-55分，差：55-0。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Arial"/>
    <w:panose1 w:val="020B0504020202020204"/>
    <w:charset w:val="00"/>
    <w:family w:val="swiss"/>
    <w:pitch w:val="default"/>
    <w:sig w:usb0="00000000" w:usb1="00000000" w:usb2="0000000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33B"/>
    <w:rsid w:val="005F0F0D"/>
    <w:rsid w:val="00672670"/>
    <w:rsid w:val="008D750C"/>
    <w:rsid w:val="00C0133B"/>
    <w:rsid w:val="79FB5FF8"/>
    <w:rsid w:val="7D556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5">
    <w:name w:val="Table Grid"/>
    <w:basedOn w:val="4"/>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194</Words>
  <Characters>1112</Characters>
  <Lines>9</Lines>
  <Paragraphs>2</Paragraphs>
  <ScaleCrop>false</ScaleCrop>
  <LinksUpToDate>false</LinksUpToDate>
  <CharactersWithSpaces>1304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2017-04-02T06:31:00Z</dcterms:created>
  <dc:creator>葛鹏翔</dc:creator>
  <cp:lastModifiedBy>我愿重来</cp:lastModifiedBy>
  <cp:lastPrinted>2017-04-26T06:31:00Z</cp:lastPrinted>
  <dcterms:modified xsi:type="dcterms:W3CDTF">2018-03-11T12:38:26Z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